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CF" w:rsidRPr="00697DDE" w:rsidRDefault="00047B11" w:rsidP="00697DDE">
      <w:pPr>
        <w:jc w:val="center"/>
        <w:rPr>
          <w:b/>
          <w:color w:val="FF0000"/>
          <w:sz w:val="28"/>
          <w:szCs w:val="28"/>
        </w:rPr>
      </w:pPr>
      <w:r w:rsidRPr="00697DDE">
        <w:rPr>
          <w:b/>
          <w:color w:val="FF0000"/>
          <w:sz w:val="28"/>
          <w:szCs w:val="28"/>
        </w:rPr>
        <w:t>Možnosti podpory pre „nepoľnohospodárskych“ podnikateľov, teda podnikateľov, ktorí nie sú oprávnení čerpať z Programu rozvoja vidieka a Operačného programu Rybné hospodárstvo v rámci stratégií LEADER</w:t>
      </w:r>
    </w:p>
    <w:p w:rsidR="00047B11" w:rsidRDefault="00047B11" w:rsidP="007370B1">
      <w:pPr>
        <w:jc w:val="both"/>
        <w:rPr>
          <w:b/>
          <w:sz w:val="28"/>
          <w:szCs w:val="28"/>
        </w:rPr>
      </w:pPr>
    </w:p>
    <w:p w:rsidR="00490BFD" w:rsidRDefault="00047B11" w:rsidP="00490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Prioritná os č. 5: Miestny rozvoj vedený komunitou</w:t>
      </w:r>
    </w:p>
    <w:p w:rsidR="00746194" w:rsidRDefault="00746194" w:rsidP="00490BFD">
      <w:pPr>
        <w:jc w:val="both"/>
        <w:rPr>
          <w:b/>
          <w:sz w:val="28"/>
          <w:szCs w:val="28"/>
        </w:rPr>
      </w:pPr>
    </w:p>
    <w:p w:rsidR="00047B11" w:rsidRPr="00D70183" w:rsidRDefault="00047B11" w:rsidP="00D70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</w:rPr>
      </w:pPr>
      <w:r w:rsidRPr="00D70183">
        <w:rPr>
          <w:b/>
        </w:rPr>
        <w:t>2.5.1. Investičná priorita č. 5.1: Záväzné investície v rámci stratégií miestneho rozvoja vedeného komunitou</w:t>
      </w:r>
    </w:p>
    <w:p w:rsidR="00047B11" w:rsidRDefault="00047B11" w:rsidP="00697DDE">
      <w:pPr>
        <w:spacing w:before="120"/>
        <w:jc w:val="both"/>
        <w:rPr>
          <w:b/>
          <w:i/>
        </w:rPr>
      </w:pPr>
      <w:r w:rsidRPr="00D70183">
        <w:rPr>
          <w:b/>
          <w:i/>
        </w:rPr>
        <w:t>Špecifický cieľ č. 5.1.1: Zvýšenie zamestnanosti na miestnej úrovni podporou podnikania a</w:t>
      </w:r>
      <w:r w:rsidR="00746194">
        <w:rPr>
          <w:b/>
          <w:i/>
        </w:rPr>
        <w:t> </w:t>
      </w:r>
      <w:r w:rsidR="00D70183">
        <w:rPr>
          <w:b/>
          <w:i/>
        </w:rPr>
        <w:t>inovácií</w:t>
      </w:r>
    </w:p>
    <w:p w:rsidR="00746194" w:rsidRDefault="00746194" w:rsidP="00697DDE">
      <w:pPr>
        <w:spacing w:before="120"/>
        <w:jc w:val="both"/>
        <w:rPr>
          <w:b/>
          <w:i/>
        </w:rPr>
      </w:pPr>
    </w:p>
    <w:p w:rsidR="00D70183" w:rsidRPr="00D70183" w:rsidRDefault="00D70183" w:rsidP="007370B1">
      <w:pPr>
        <w:jc w:val="both"/>
        <w:rPr>
          <w:u w:val="single"/>
        </w:rPr>
      </w:pPr>
      <w:r w:rsidRPr="00D70183">
        <w:rPr>
          <w:u w:val="single"/>
        </w:rPr>
        <w:t>Charakteristika</w:t>
      </w:r>
    </w:p>
    <w:p w:rsidR="00047B11" w:rsidRPr="00D70183" w:rsidRDefault="00047B11" w:rsidP="007370B1">
      <w:pPr>
        <w:jc w:val="both"/>
      </w:pPr>
      <w:r w:rsidRPr="00D70183">
        <w:t xml:space="preserve">Trvalo udržateľný rozvoj vidieckych oblastí je prepojený s riešením zamestnanosti na vidieku. Pre trend vidieckej zamestnanosti posledných rokov je typický pokles zamestnanosti v primárnom sekundárnom sektore, podobne ako v celom národnom hospodárstve SR. Naopak, vývoj zamestnanosti v terciárnom sektore naznačuje dynamickejší nárast zamestnanosti vo vidieckych oblastiach oproti vývoju v celej ekonomike SR. Zamestnanosť v terciárnom sektore má teda na vidieku značný rastový potenciál. V oblasti zamestnanosti a sociálnej súdržnosti sú problémovými oblasťami najmä celková miera nezamestnanosti, dlhodobá nezamestnanosť, zamestnávanie starších pracovníkov a príslušníkov marginalizovaných rómskych komunít. </w:t>
      </w:r>
    </w:p>
    <w:p w:rsidR="00047B11" w:rsidRPr="00D70183" w:rsidRDefault="00047B11" w:rsidP="007370B1">
      <w:pPr>
        <w:jc w:val="both"/>
      </w:pPr>
    </w:p>
    <w:p w:rsidR="00047B11" w:rsidRPr="00D70183" w:rsidRDefault="00047B11" w:rsidP="007370B1">
      <w:pPr>
        <w:jc w:val="both"/>
      </w:pPr>
      <w:r w:rsidRPr="00D70183">
        <w:t xml:space="preserve">Pre vidiecke regióny je ďalej charakteristický postupný a kontinuálny nárast počtu podnikateľov (samostatne zárobkovo činné osoby), a tým aj nárast podielu na celkovom počte podnikateľov v SR. Naopak, čo sa týka dynamiky rastu podnikateľských subjektov ako právnických osôb, táto je na vidieku nižšia ako v mestských regiónoch spôsobená nižšou ekonomickou silou a nižšou infraštruktúrnou vybavenosťou. SR má výrazný potenciál pre rozvoj vidieckeho cestovného ruchu spojený najmä s využívaním prírodného a historického potenciálu územia. Nezameniteľnú úlohu pri rozvoji vidieka stále zohrávajú podnikateľské subjekty vo vidieckom osídlení. Predpoklady pre udržanie zamestnanosti na vidieku spočívajú v zmiernení doterajšieho trendu znižovania počtu pracovných príležitostí v poľnohospodárskej prvovýrobe, avšak pre posilnenie ekonomickej a sociálnej životaschopnosti vidieka je potrebná diverzifikácia ekonomických aktivít, rozvoj služieb a posilnenie investícií do miestnej infraštruktúry. Kľúčovou výzvou na miestnej úrovni v spojení s rozvojom podnikania je sociálna inovácia ako rozvoj a uskutočnenie nových nápadov. </w:t>
      </w:r>
    </w:p>
    <w:p w:rsidR="00047B11" w:rsidRPr="00D70183" w:rsidRDefault="00047B11" w:rsidP="007370B1">
      <w:pPr>
        <w:jc w:val="both"/>
      </w:pPr>
    </w:p>
    <w:p w:rsidR="00047B11" w:rsidRDefault="00047B11" w:rsidP="007370B1">
      <w:pPr>
        <w:jc w:val="both"/>
        <w:rPr>
          <w:b/>
        </w:rPr>
      </w:pPr>
      <w:r w:rsidRPr="00D70183">
        <w:rPr>
          <w:b/>
        </w:rPr>
        <w:t>Podpora z IROP, orientovaná na trh práce v miestnom kontexte, sa sústredí na rozvoj a rast udržateľných pracovných miest bez ohľadu na sektor alebo odvetvie vrátane oblasti zelených technológií, s výnimkou podpory tých investícií</w:t>
      </w:r>
      <w:r w:rsidR="00D70183" w:rsidRPr="00D70183">
        <w:rPr>
          <w:b/>
        </w:rPr>
        <w:t xml:space="preserve"> v poľnohospodárskej prvovýrobe, investícií v spracovaní, vývoji a uvádzania na trh poľnohospodárskych produktov a potravinárskych výrobkov a investícií do lesných technológií, ktoré sú </w:t>
      </w:r>
      <w:r w:rsidR="00D70183" w:rsidRPr="00D70183">
        <w:rPr>
          <w:b/>
        </w:rPr>
        <w:lastRenderedPageBreak/>
        <w:t xml:space="preserve">predmetom podpory PRV alebo v prípade podpory subjektov, ktoré majú tržby z poľnohospodárskej, </w:t>
      </w:r>
      <w:proofErr w:type="spellStart"/>
      <w:r w:rsidR="00D70183" w:rsidRPr="00D70183">
        <w:rPr>
          <w:b/>
        </w:rPr>
        <w:t>akvakultúrnej</w:t>
      </w:r>
      <w:proofErr w:type="spellEnd"/>
      <w:r w:rsidR="00D70183" w:rsidRPr="00D70183">
        <w:rPr>
          <w:b/>
        </w:rPr>
        <w:t xml:space="preserve"> alebo lesníckej činnosti presahujúce 30% z ich celkových tržieb, a ktoré sú predmetom podpory PRV, alebo subjektov v oblasti </w:t>
      </w:r>
      <w:proofErr w:type="spellStart"/>
      <w:r w:rsidR="00D70183" w:rsidRPr="00D70183">
        <w:rPr>
          <w:b/>
        </w:rPr>
        <w:t>akvakultúrnej</w:t>
      </w:r>
      <w:proofErr w:type="spellEnd"/>
      <w:r w:rsidR="00D70183" w:rsidRPr="00D70183">
        <w:rPr>
          <w:b/>
        </w:rPr>
        <w:t xml:space="preserve"> činnosti a spracovania produktov rybolovu, ktorú sú predmetom podpory z Operačného programu Rybné hospodárstvo.</w:t>
      </w:r>
    </w:p>
    <w:p w:rsidR="00645F03" w:rsidRDefault="00645F03" w:rsidP="007370B1">
      <w:pPr>
        <w:jc w:val="both"/>
        <w:rPr>
          <w:b/>
        </w:rPr>
      </w:pPr>
    </w:p>
    <w:p w:rsidR="00645F03" w:rsidRPr="00645F03" w:rsidRDefault="00645F03" w:rsidP="007370B1">
      <w:pPr>
        <w:jc w:val="both"/>
        <w:rPr>
          <w:b/>
          <w:u w:val="single"/>
        </w:rPr>
      </w:pPr>
      <w:r w:rsidRPr="00645F03">
        <w:rPr>
          <w:b/>
          <w:u w:val="single"/>
        </w:rPr>
        <w:t>Výsledok podpory IROP (Integrovaný regionálny operačný program)</w:t>
      </w:r>
    </w:p>
    <w:p w:rsidR="00645F03" w:rsidRPr="00645F03" w:rsidRDefault="00645F03" w:rsidP="00645F03">
      <w:pPr>
        <w:pStyle w:val="Odsekzoznamu"/>
        <w:numPr>
          <w:ilvl w:val="0"/>
          <w:numId w:val="3"/>
        </w:numPr>
        <w:jc w:val="both"/>
      </w:pPr>
      <w:r w:rsidRPr="00645F03">
        <w:t>zlepšenie využívania ekonomického potenciálu vidieckych oblastí prostredníctvom reštrukturalizácie vidieckej ekonomiky a zavádzania inovácií;</w:t>
      </w:r>
    </w:p>
    <w:p w:rsidR="00645F03" w:rsidRPr="00645F03" w:rsidRDefault="00645F03" w:rsidP="00645F03">
      <w:pPr>
        <w:pStyle w:val="Odsekzoznamu"/>
        <w:numPr>
          <w:ilvl w:val="0"/>
          <w:numId w:val="3"/>
        </w:numPr>
        <w:jc w:val="both"/>
      </w:pPr>
      <w:r w:rsidRPr="00645F03">
        <w:rPr>
          <w:i/>
        </w:rPr>
        <w:t>tvorba pracovných miest a hospodárskeho rastu</w:t>
      </w:r>
      <w:r w:rsidRPr="00645F03">
        <w:t>,</w:t>
      </w:r>
    </w:p>
    <w:p w:rsidR="00645F03" w:rsidRPr="00645F03" w:rsidRDefault="00645F03" w:rsidP="00645F03">
      <w:pPr>
        <w:pStyle w:val="Odsekzoznamu"/>
        <w:numPr>
          <w:ilvl w:val="0"/>
          <w:numId w:val="3"/>
        </w:numPr>
        <w:jc w:val="both"/>
      </w:pPr>
      <w:r w:rsidRPr="00645F03">
        <w:t>vznik nových komunitných služieb a podnikov,</w:t>
      </w:r>
    </w:p>
    <w:p w:rsidR="00645F03" w:rsidRPr="00645F03" w:rsidRDefault="00645F03" w:rsidP="00645F03">
      <w:pPr>
        <w:pStyle w:val="Odsekzoznamu"/>
        <w:numPr>
          <w:ilvl w:val="0"/>
          <w:numId w:val="3"/>
        </w:numPr>
        <w:jc w:val="both"/>
      </w:pPr>
      <w:r w:rsidRPr="00645F03">
        <w:rPr>
          <w:i/>
        </w:rPr>
        <w:t xml:space="preserve">zlepšenie </w:t>
      </w:r>
      <w:proofErr w:type="spellStart"/>
      <w:r w:rsidRPr="00645F03">
        <w:rPr>
          <w:i/>
        </w:rPr>
        <w:t>zamestnateľnosti</w:t>
      </w:r>
      <w:proofErr w:type="spellEnd"/>
      <w:r w:rsidRPr="00645F03">
        <w:rPr>
          <w:i/>
        </w:rPr>
        <w:t xml:space="preserve"> a prístupu k novým formám podnikania a novým pracovným miestam</w:t>
      </w:r>
      <w:r w:rsidRPr="00645F03">
        <w:t>;</w:t>
      </w:r>
    </w:p>
    <w:p w:rsidR="00645F03" w:rsidRPr="00645F03" w:rsidRDefault="00645F03" w:rsidP="00645F03">
      <w:pPr>
        <w:pStyle w:val="Odsekzoznamu"/>
        <w:numPr>
          <w:ilvl w:val="0"/>
          <w:numId w:val="3"/>
        </w:numPr>
        <w:jc w:val="both"/>
      </w:pPr>
      <w:r w:rsidRPr="00645F03">
        <w:rPr>
          <w:i/>
        </w:rPr>
        <w:t>zníženie závislosti vidieckeho obyvateľstva od príjmov z primárnej ekonomickej aktivity, najmä v poľnohospodárstve, smerom k zamestnanosti v nepoľnohospodárskych odvetviach, napr. v sektore služieb</w:t>
      </w:r>
      <w:r w:rsidRPr="00645F03">
        <w:t>,</w:t>
      </w:r>
    </w:p>
    <w:p w:rsidR="002771E3" w:rsidRDefault="00645F03" w:rsidP="00697DDE">
      <w:pPr>
        <w:pStyle w:val="Odsekzoznamu"/>
        <w:numPr>
          <w:ilvl w:val="0"/>
          <w:numId w:val="3"/>
        </w:numPr>
        <w:jc w:val="both"/>
      </w:pPr>
      <w:r w:rsidRPr="00645F03">
        <w:t xml:space="preserve">zníženie rizika chudoby a sociálneho vylúčenia. </w:t>
      </w:r>
    </w:p>
    <w:p w:rsidR="002771E3" w:rsidRDefault="002771E3" w:rsidP="002771E3">
      <w:pPr>
        <w:pStyle w:val="Odsekzoznamu"/>
        <w:jc w:val="both"/>
      </w:pPr>
    </w:p>
    <w:p w:rsidR="002771E3" w:rsidRPr="00697DDE" w:rsidRDefault="002771E3" w:rsidP="00697DDE">
      <w:pPr>
        <w:jc w:val="both"/>
        <w:rPr>
          <w:u w:val="single"/>
        </w:rPr>
      </w:pPr>
      <w:r w:rsidRPr="00697DDE">
        <w:rPr>
          <w:u w:val="single"/>
        </w:rPr>
        <w:t>Akcie, ktoré sa majú podporiť v rámci investičnej priority</w:t>
      </w:r>
    </w:p>
    <w:p w:rsidR="002771E3" w:rsidRDefault="002771E3" w:rsidP="002771E3">
      <w:pPr>
        <w:pStyle w:val="Odsekzoznamu"/>
        <w:numPr>
          <w:ilvl w:val="0"/>
          <w:numId w:val="3"/>
        </w:numPr>
        <w:jc w:val="both"/>
      </w:pPr>
      <w:r w:rsidRPr="00697DDE">
        <w:rPr>
          <w:b/>
        </w:rPr>
        <w:t xml:space="preserve">zakladanie nových a podpora existujúcich </w:t>
      </w:r>
      <w:proofErr w:type="spellStart"/>
      <w:r w:rsidRPr="00697DDE">
        <w:rPr>
          <w:b/>
        </w:rPr>
        <w:t>mikro</w:t>
      </w:r>
      <w:proofErr w:type="spellEnd"/>
      <w:r w:rsidRPr="00697DDE">
        <w:rPr>
          <w:b/>
        </w:rPr>
        <w:t xml:space="preserve"> a malých podnikov, samostatne zárobkovo činných osôb, družstiev</w:t>
      </w:r>
      <w:r>
        <w:t>,</w:t>
      </w:r>
    </w:p>
    <w:p w:rsidR="002771E3" w:rsidRDefault="002771E3" w:rsidP="002771E3">
      <w:pPr>
        <w:pStyle w:val="Odsekzoznamu"/>
        <w:numPr>
          <w:ilvl w:val="0"/>
          <w:numId w:val="4"/>
        </w:numPr>
        <w:jc w:val="both"/>
      </w:pPr>
      <w:r>
        <w:t>obstaranie hmotného majetku pre účely tvorby pracovných miest;</w:t>
      </w:r>
    </w:p>
    <w:p w:rsidR="002771E3" w:rsidRDefault="002771E3" w:rsidP="002771E3">
      <w:pPr>
        <w:pStyle w:val="Odsekzoznamu"/>
        <w:numPr>
          <w:ilvl w:val="0"/>
          <w:numId w:val="4"/>
        </w:numPr>
        <w:jc w:val="both"/>
      </w:pPr>
      <w:r>
        <w:t>nutné stavebnotechnické úpravy budov spojené s umiestnením obstaranej technológie a/alebo s poskytovaním nových služieb,</w:t>
      </w:r>
    </w:p>
    <w:p w:rsidR="002771E3" w:rsidRDefault="002771E3" w:rsidP="002771E3">
      <w:pPr>
        <w:pStyle w:val="Odsekzoznamu"/>
        <w:numPr>
          <w:ilvl w:val="0"/>
          <w:numId w:val="4"/>
        </w:numPr>
        <w:jc w:val="both"/>
      </w:pPr>
      <w:r>
        <w:t>podpora marketingových aktivít,</w:t>
      </w:r>
    </w:p>
    <w:p w:rsidR="002771E3" w:rsidRDefault="002771E3" w:rsidP="002771E3">
      <w:pPr>
        <w:pStyle w:val="Odsekzoznamu"/>
        <w:numPr>
          <w:ilvl w:val="0"/>
          <w:numId w:val="4"/>
        </w:numPr>
        <w:jc w:val="both"/>
      </w:pPr>
      <w:r>
        <w:t>podpora miestnych produkčno-spotrebiteľských reťazcov, sieťovanie na úrovni miestnej ekonomiky a výmena skúseností</w:t>
      </w:r>
      <w:r w:rsidR="00C77674">
        <w:t>.</w:t>
      </w:r>
    </w:p>
    <w:p w:rsidR="00C77674" w:rsidRDefault="00C77674" w:rsidP="00C77674">
      <w:pPr>
        <w:jc w:val="both"/>
      </w:pPr>
      <w:r>
        <w:t xml:space="preserve">Na plnenie špecifického cieľa č. 5.1.1 bude využitá schéma štátnej pomoci, resp. schéma pomoci de </w:t>
      </w:r>
      <w:proofErr w:type="spellStart"/>
      <w:r>
        <w:t>minimis</w:t>
      </w:r>
      <w:proofErr w:type="spellEnd"/>
      <w:r>
        <w:t xml:space="preserve"> v zmysle príslušných ustanovených pravidiel plne zodpovedajúcich legislatíve Európskej únie, ako aj ďalším dokumentom Európskej komisie v oblasti štátnej pomoci.</w:t>
      </w:r>
    </w:p>
    <w:p w:rsidR="00774E41" w:rsidRDefault="00774E41" w:rsidP="00C77674">
      <w:pPr>
        <w:jc w:val="both"/>
      </w:pPr>
    </w:p>
    <w:p w:rsidR="00774E41" w:rsidRPr="00697DDE" w:rsidRDefault="00774E41" w:rsidP="00C77674">
      <w:pPr>
        <w:jc w:val="both"/>
        <w:rPr>
          <w:u w:val="single"/>
        </w:rPr>
      </w:pPr>
      <w:r w:rsidRPr="00697DDE">
        <w:rPr>
          <w:u w:val="single"/>
        </w:rPr>
        <w:t xml:space="preserve">Oprávnení prijímatelia: </w:t>
      </w:r>
    </w:p>
    <w:p w:rsidR="00774E41" w:rsidRDefault="00774E41" w:rsidP="00C77674">
      <w:pPr>
        <w:jc w:val="both"/>
      </w:pPr>
      <w:r>
        <w:t>Samostatne zárobkovo činné osoby, okrem tých, ktoré sú oprávnenými prijímateľmi z PRV v opatrení LEADER a oprávnenými prijímateľmi z Operačného programu rybné hospodárstvo;</w:t>
      </w:r>
    </w:p>
    <w:p w:rsidR="00774E41" w:rsidRDefault="00774E41" w:rsidP="00C77674">
      <w:pPr>
        <w:jc w:val="both"/>
      </w:pPr>
      <w:proofErr w:type="spellStart"/>
      <w:r>
        <w:t>Mikro</w:t>
      </w:r>
      <w:proofErr w:type="spellEnd"/>
      <w:r>
        <w:t xml:space="preserve"> a malé podniky s počtom do 49 zamestnancov, okrem tých, ktoré sú oprávnenými prijímateľmi z PRV v opatrení LEADER a oprávnenými prijímateľmi z OP RH. </w:t>
      </w:r>
    </w:p>
    <w:p w:rsidR="00774E41" w:rsidRDefault="00774E41" w:rsidP="00C77674">
      <w:pPr>
        <w:jc w:val="both"/>
      </w:pPr>
    </w:p>
    <w:p w:rsidR="00746194" w:rsidRPr="00746194" w:rsidRDefault="00746194" w:rsidP="00C77674">
      <w:pPr>
        <w:jc w:val="both"/>
        <w:rPr>
          <w:u w:val="single"/>
        </w:rPr>
      </w:pPr>
      <w:bookmarkStart w:id="0" w:name="_GoBack"/>
      <w:r w:rsidRPr="00746194">
        <w:rPr>
          <w:u w:val="single"/>
        </w:rPr>
        <w:t>Rozsah podpory:</w:t>
      </w:r>
    </w:p>
    <w:bookmarkEnd w:id="0"/>
    <w:p w:rsidR="00774E41" w:rsidRDefault="00774E41" w:rsidP="00C77674">
      <w:pPr>
        <w:jc w:val="both"/>
      </w:pPr>
      <w:r>
        <w:t xml:space="preserve">Maximálna výška verejnej podpory (Európsky fond regionálneho rozvoja, štátny rozpočet) na jeden projekt je 100 000 EUR z celkových oprávnených výdavkov na projekt, resp. môže byť nižšia v závislosti od nastavenia v stratégii konkrétnej miestnej akčnej skupiny. Môžu sa tiež </w:t>
      </w:r>
      <w:r>
        <w:lastRenderedPageBreak/>
        <w:t>realizovať projekty so zreteľom na sociálnu inklúziu vrátane marginalizovaných rómskych komunít.</w:t>
      </w:r>
    </w:p>
    <w:p w:rsidR="00774E41" w:rsidRDefault="00774E41" w:rsidP="00C77674">
      <w:pPr>
        <w:jc w:val="both"/>
      </w:pPr>
    </w:p>
    <w:p w:rsidR="00774E41" w:rsidRDefault="00774E41" w:rsidP="00C77674">
      <w:pPr>
        <w:jc w:val="both"/>
      </w:pPr>
      <w:r>
        <w:t>Pre efektívne dosiahnutie čo najväčšieho príspevku operácií/projektov k naplneniu špecifického cieľa 5.1.1 a dosiahnutie výsledkov by navrhované operácie/projekty mali rešpektovať nasledovné princípy:</w:t>
      </w:r>
    </w:p>
    <w:p w:rsidR="00774E41" w:rsidRDefault="00774E41" w:rsidP="003B0A3D">
      <w:pPr>
        <w:pStyle w:val="Odsekzoznamu"/>
        <w:numPr>
          <w:ilvl w:val="0"/>
          <w:numId w:val="5"/>
        </w:numPr>
        <w:jc w:val="both"/>
      </w:pPr>
      <w:r>
        <w:t>Počas doby udržateľnosti projektu nesmie dôjsť k zásadnému poklesu zamestnanosti v podniku vo vzťahu k podporeným aktivitám projektu;</w:t>
      </w:r>
    </w:p>
    <w:p w:rsidR="00774E41" w:rsidRDefault="00774E41" w:rsidP="003B0A3D">
      <w:pPr>
        <w:pStyle w:val="Odsekzoznamu"/>
        <w:numPr>
          <w:ilvl w:val="0"/>
          <w:numId w:val="5"/>
        </w:numPr>
        <w:jc w:val="both"/>
      </w:pPr>
      <w:r>
        <w:t>Zvýhodnené budú tie projekty, ktorých výsledkom je vytvorenie najmenej jedného pracovného miesta. V prípade že projekt vytvorí pracovné miesta, bude zvýhodnený v závislosti od počtu vytvorených pracovných miest.</w:t>
      </w:r>
    </w:p>
    <w:p w:rsidR="00774E41" w:rsidRDefault="00774E41" w:rsidP="003B0A3D">
      <w:pPr>
        <w:pStyle w:val="Odsekzoznamu"/>
        <w:numPr>
          <w:ilvl w:val="0"/>
          <w:numId w:val="5"/>
        </w:numPr>
        <w:jc w:val="both"/>
      </w:pPr>
      <w:r>
        <w:t>Zvýhodnené budú tie projekty, ktorých aktivity sa týkajú podpory výrobkov a služieb, ktoré sú pre trh nové alebo výrobkov a služieb, ktoré sú nové pre podnik (inovácie).</w:t>
      </w:r>
    </w:p>
    <w:p w:rsidR="00774E41" w:rsidRPr="00645F03" w:rsidRDefault="00774E41" w:rsidP="003B0A3D">
      <w:pPr>
        <w:pStyle w:val="Odsekzoznamu"/>
        <w:numPr>
          <w:ilvl w:val="0"/>
          <w:numId w:val="5"/>
        </w:numPr>
        <w:jc w:val="both"/>
      </w:pPr>
      <w:r>
        <w:t>Projekt uplatňuje zásadu „znečisťovateľ platí.“</w:t>
      </w:r>
    </w:p>
    <w:sectPr w:rsidR="00774E41" w:rsidRPr="00645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AF" w:rsidRDefault="008534AF" w:rsidP="00E64CC1">
      <w:r>
        <w:separator/>
      </w:r>
    </w:p>
  </w:endnote>
  <w:endnote w:type="continuationSeparator" w:id="0">
    <w:p w:rsidR="008534AF" w:rsidRDefault="008534AF" w:rsidP="00E6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C1" w:rsidRDefault="00E64CC1" w:rsidP="00E64CC1"/>
  <w:p w:rsidR="00E64CC1" w:rsidRPr="005B5822" w:rsidRDefault="00E64CC1" w:rsidP="00E64CC1">
    <w:pPr>
      <w:pStyle w:val="Pta"/>
      <w:rPr>
        <w:rFonts w:asciiTheme="majorHAnsi" w:hAnsiTheme="majorHAnsi"/>
        <w:sz w:val="18"/>
        <w:szCs w:val="18"/>
      </w:rPr>
    </w:pPr>
  </w:p>
  <w:p w:rsidR="00E64CC1" w:rsidRPr="005B5822" w:rsidRDefault="008446F1" w:rsidP="00E64CC1">
    <w:pPr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>RZ Dolná Nitra o. z., č. 399, 951 08 Golianovo</w:t>
    </w:r>
    <w:r w:rsidR="00E64CC1" w:rsidRPr="005B5822">
      <w:rPr>
        <w:rFonts w:asciiTheme="majorHAnsi" w:hAnsiTheme="majorHAnsi" w:cs="Arial"/>
        <w:sz w:val="18"/>
        <w:szCs w:val="18"/>
      </w:rPr>
      <w:t xml:space="preserve"> IČO: 42 116 252</w:t>
    </w:r>
  </w:p>
  <w:p w:rsidR="00E64CC1" w:rsidRPr="00E64CC1" w:rsidRDefault="00E64CC1" w:rsidP="00E64CC1">
    <w:pPr>
      <w:jc w:val="center"/>
      <w:rPr>
        <w:rFonts w:ascii="Arial" w:hAnsi="Arial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 xml:space="preserve">Kontakt: </w:t>
    </w:r>
    <w:r w:rsidRPr="001B4357">
      <w:rPr>
        <w:rFonts w:asciiTheme="majorHAnsi" w:hAnsiTheme="majorHAnsi" w:cs="Arial"/>
        <w:sz w:val="18"/>
        <w:szCs w:val="18"/>
      </w:rPr>
      <w:t xml:space="preserve">mail: </w:t>
    </w:r>
    <w:r w:rsidRPr="001B4357">
      <w:rPr>
        <w:rFonts w:asciiTheme="majorHAnsi" w:hAnsiTheme="majorHAnsi" w:cs="Arial"/>
        <w:sz w:val="18"/>
        <w:szCs w:val="18"/>
        <w:u w:val="single"/>
      </w:rPr>
      <w:t>predseda</w:t>
    </w:r>
    <w:hyperlink r:id="rId1" w:history="1">
      <w:r w:rsidRPr="001B4357">
        <w:rPr>
          <w:rStyle w:val="Hypertextovprepojenie"/>
          <w:rFonts w:asciiTheme="majorHAnsi" w:hAnsiTheme="majorHAnsi"/>
          <w:color w:val="000000"/>
          <w:sz w:val="18"/>
          <w:szCs w:val="18"/>
        </w:rPr>
        <w:t>@dolnanitra.sk</w:t>
      </w:r>
    </w:hyperlink>
    <w:r w:rsidR="008446F1">
      <w:rPr>
        <w:rFonts w:asciiTheme="majorHAnsi" w:hAnsiTheme="majorHAnsi" w:cs="Arial"/>
        <w:color w:val="000000"/>
        <w:sz w:val="18"/>
        <w:szCs w:val="18"/>
      </w:rPr>
      <w:t>, 0918 477 929</w:t>
    </w:r>
    <w:r w:rsidRPr="005B5822">
      <w:rPr>
        <w:rFonts w:asciiTheme="majorHAnsi" w:hAnsiTheme="majorHAnsi" w:cs="Arial"/>
        <w:color w:val="000000"/>
        <w:sz w:val="18"/>
        <w:szCs w:val="18"/>
      </w:rPr>
      <w:t xml:space="preserve">, </w:t>
    </w:r>
    <w:hyperlink r:id="rId2" w:history="1">
      <w:r w:rsidRPr="005B5822">
        <w:rPr>
          <w:rStyle w:val="Hypertextovprepojenie"/>
          <w:rFonts w:asciiTheme="majorHAnsi" w:hAnsiTheme="majorHAnsi"/>
          <w:color w:val="000000"/>
          <w:sz w:val="18"/>
          <w:szCs w:val="18"/>
        </w:rPr>
        <w:t>manazer@dolnanitra.sk</w:t>
      </w:r>
    </w:hyperlink>
    <w:r w:rsidRPr="005B5822">
      <w:rPr>
        <w:rFonts w:asciiTheme="majorHAnsi" w:hAnsiTheme="majorHAnsi" w:cs="Arial"/>
        <w:sz w:val="18"/>
        <w:szCs w:val="18"/>
      </w:rPr>
      <w:t>, 0917 387 295</w:t>
    </w:r>
    <w:r>
      <w:rPr>
        <w:noProof/>
        <w:lang w:eastAsia="sk-SK"/>
      </w:rPr>
      <w:drawing>
        <wp:inline distT="0" distB="0" distL="0" distR="0" wp14:anchorId="125A7B81" wp14:editId="3440C99F">
          <wp:extent cx="5390515" cy="616585"/>
          <wp:effectExtent l="0" t="0" r="635" b="0"/>
          <wp:docPr id="2" name="Obrázok 2" descr="Spolufinancované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ufinancované 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AF" w:rsidRDefault="008534AF" w:rsidP="00E64CC1">
      <w:r>
        <w:separator/>
      </w:r>
    </w:p>
  </w:footnote>
  <w:footnote w:type="continuationSeparator" w:id="0">
    <w:p w:rsidR="008534AF" w:rsidRDefault="008534AF" w:rsidP="00E6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C1" w:rsidRDefault="00E64CC1" w:rsidP="00E64CC1">
    <w:pPr>
      <w:tabs>
        <w:tab w:val="left" w:pos="3360"/>
      </w:tabs>
      <w:jc w:val="both"/>
      <w:rPr>
        <w:b/>
        <w:color w:val="008000"/>
      </w:rPr>
    </w:pPr>
    <w:r>
      <w:rPr>
        <w:noProof/>
        <w:lang w:eastAsia="sk-SK"/>
      </w:rPr>
      <w:drawing>
        <wp:anchor distT="0" distB="0" distL="114935" distR="114935" simplePos="0" relativeHeight="251659264" behindDoc="0" locked="0" layoutInCell="1" allowOverlap="1" wp14:anchorId="11DA8BC6" wp14:editId="0830DEA2">
          <wp:simplePos x="0" y="0"/>
          <wp:positionH relativeFrom="column">
            <wp:posOffset>4500880</wp:posOffset>
          </wp:positionH>
          <wp:positionV relativeFrom="paragraph">
            <wp:posOffset>-101600</wp:posOffset>
          </wp:positionV>
          <wp:extent cx="1076325" cy="840105"/>
          <wp:effectExtent l="19050" t="0" r="9525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40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color w:val="008000"/>
      </w:rPr>
      <w:t>Regionálne združenie</w:t>
    </w:r>
  </w:p>
  <w:p w:rsidR="00E64CC1" w:rsidRDefault="00E64CC1" w:rsidP="00E64CC1">
    <w:pPr>
      <w:tabs>
        <w:tab w:val="left" w:pos="3360"/>
      </w:tabs>
      <w:jc w:val="both"/>
      <w:rPr>
        <w:b/>
        <w:color w:val="008000"/>
      </w:rPr>
    </w:pPr>
    <w:r>
      <w:rPr>
        <w:b/>
        <w:color w:val="008000"/>
        <w:sz w:val="44"/>
        <w:szCs w:val="44"/>
      </w:rPr>
      <w:t xml:space="preserve">Dolná Nitra </w:t>
    </w:r>
    <w:r>
      <w:rPr>
        <w:b/>
        <w:color w:val="008000"/>
      </w:rPr>
      <w:t>o. z.</w:t>
    </w:r>
  </w:p>
  <w:p w:rsidR="00E64CC1" w:rsidRDefault="008446F1" w:rsidP="00E64CC1">
    <w:pPr>
      <w:rPr>
        <w:b/>
        <w:color w:val="008000"/>
      </w:rPr>
    </w:pPr>
    <w:r>
      <w:rPr>
        <w:b/>
        <w:color w:val="008000"/>
      </w:rPr>
      <w:t>č. 399, 951 08 Golianovo</w:t>
    </w:r>
    <w:r w:rsidR="00E64CC1">
      <w:rPr>
        <w:b/>
        <w:color w:val="008000"/>
      </w:rPr>
      <w:t xml:space="preserve">    </w:t>
    </w:r>
  </w:p>
  <w:p w:rsidR="00E64CC1" w:rsidRDefault="00E64CC1" w:rsidP="00E64CC1">
    <w:pPr>
      <w:pStyle w:val="Hlavika"/>
    </w:pPr>
  </w:p>
  <w:p w:rsidR="00E64CC1" w:rsidRDefault="00E64CC1" w:rsidP="00E64CC1"/>
  <w:p w:rsidR="00E64CC1" w:rsidRDefault="00E64CC1" w:rsidP="00E64CC1">
    <w:pPr>
      <w:pStyle w:val="P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727081"/>
    <w:multiLevelType w:val="hybridMultilevel"/>
    <w:tmpl w:val="B880751C"/>
    <w:lvl w:ilvl="0" w:tplc="7BD2C5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766"/>
    <w:multiLevelType w:val="hybridMultilevel"/>
    <w:tmpl w:val="B906B1FC"/>
    <w:lvl w:ilvl="0" w:tplc="30E2D3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94238"/>
    <w:multiLevelType w:val="hybridMultilevel"/>
    <w:tmpl w:val="F346672E"/>
    <w:lvl w:ilvl="0" w:tplc="7BD2C5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66DE4"/>
    <w:multiLevelType w:val="hybridMultilevel"/>
    <w:tmpl w:val="5CC2F7EE"/>
    <w:lvl w:ilvl="0" w:tplc="9998E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C1"/>
    <w:rsid w:val="00017061"/>
    <w:rsid w:val="00044795"/>
    <w:rsid w:val="00047B11"/>
    <w:rsid w:val="00057059"/>
    <w:rsid w:val="00061399"/>
    <w:rsid w:val="00097D1F"/>
    <w:rsid w:val="000E431A"/>
    <w:rsid w:val="00124E72"/>
    <w:rsid w:val="00125915"/>
    <w:rsid w:val="00175A62"/>
    <w:rsid w:val="001C160F"/>
    <w:rsid w:val="001C430B"/>
    <w:rsid w:val="001F5AF3"/>
    <w:rsid w:val="00237B8E"/>
    <w:rsid w:val="002771E3"/>
    <w:rsid w:val="00281478"/>
    <w:rsid w:val="002A4822"/>
    <w:rsid w:val="00317C93"/>
    <w:rsid w:val="003473CF"/>
    <w:rsid w:val="00387096"/>
    <w:rsid w:val="003B0A3D"/>
    <w:rsid w:val="003E1B53"/>
    <w:rsid w:val="00403161"/>
    <w:rsid w:val="00406FDF"/>
    <w:rsid w:val="00416342"/>
    <w:rsid w:val="00490BFD"/>
    <w:rsid w:val="004D68B7"/>
    <w:rsid w:val="00505AEF"/>
    <w:rsid w:val="00586819"/>
    <w:rsid w:val="005A612A"/>
    <w:rsid w:val="005D487F"/>
    <w:rsid w:val="006243AE"/>
    <w:rsid w:val="0062767A"/>
    <w:rsid w:val="006370B8"/>
    <w:rsid w:val="00645047"/>
    <w:rsid w:val="00645F03"/>
    <w:rsid w:val="006816B1"/>
    <w:rsid w:val="00697DDE"/>
    <w:rsid w:val="00697FF4"/>
    <w:rsid w:val="007079DA"/>
    <w:rsid w:val="007370B1"/>
    <w:rsid w:val="007427A2"/>
    <w:rsid w:val="00746194"/>
    <w:rsid w:val="00753568"/>
    <w:rsid w:val="00774E41"/>
    <w:rsid w:val="007911A7"/>
    <w:rsid w:val="00833C05"/>
    <w:rsid w:val="008446F1"/>
    <w:rsid w:val="008534AF"/>
    <w:rsid w:val="008F7A4B"/>
    <w:rsid w:val="00905FCC"/>
    <w:rsid w:val="0093093C"/>
    <w:rsid w:val="00930E72"/>
    <w:rsid w:val="00952510"/>
    <w:rsid w:val="00AB7416"/>
    <w:rsid w:val="00AC7A93"/>
    <w:rsid w:val="00AD4805"/>
    <w:rsid w:val="00AE5247"/>
    <w:rsid w:val="00B04C2D"/>
    <w:rsid w:val="00B13FF3"/>
    <w:rsid w:val="00B21C8A"/>
    <w:rsid w:val="00B640A4"/>
    <w:rsid w:val="00C53B11"/>
    <w:rsid w:val="00C7541D"/>
    <w:rsid w:val="00C77674"/>
    <w:rsid w:val="00C85C1D"/>
    <w:rsid w:val="00CA4096"/>
    <w:rsid w:val="00CC694F"/>
    <w:rsid w:val="00CD0110"/>
    <w:rsid w:val="00CD3B8F"/>
    <w:rsid w:val="00D70183"/>
    <w:rsid w:val="00D840CC"/>
    <w:rsid w:val="00DA0912"/>
    <w:rsid w:val="00DF2B46"/>
    <w:rsid w:val="00E01EFD"/>
    <w:rsid w:val="00E64CC1"/>
    <w:rsid w:val="00E73827"/>
    <w:rsid w:val="00E86161"/>
    <w:rsid w:val="00E96C6B"/>
    <w:rsid w:val="00EE0183"/>
    <w:rsid w:val="00EF2043"/>
    <w:rsid w:val="00F82E99"/>
    <w:rsid w:val="00F95FB4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906D4-7762-40C5-9AD7-E7BD993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C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C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C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64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4C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rsid w:val="00E64CC1"/>
    <w:rPr>
      <w:color w:val="0000FF"/>
      <w:u w:val="single"/>
    </w:rPr>
  </w:style>
  <w:style w:type="paragraph" w:styleId="Bezriadkovania">
    <w:name w:val="No Spacing"/>
    <w:uiPriority w:val="1"/>
    <w:qFormat/>
    <w:rsid w:val="006370B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01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110"/>
    <w:rPr>
      <w:rFonts w:ascii="Segoe UI" w:eastAsia="Times New Roman" w:hAnsi="Segoe UI" w:cs="Segoe UI"/>
      <w:sz w:val="18"/>
      <w:szCs w:val="18"/>
      <w:lang w:eastAsia="ar-SA"/>
    </w:rPr>
  </w:style>
  <w:style w:type="character" w:styleId="Siln">
    <w:name w:val="Strong"/>
    <w:basedOn w:val="Predvolenpsmoodseku"/>
    <w:uiPriority w:val="22"/>
    <w:qFormat/>
    <w:rsid w:val="00017061"/>
    <w:rPr>
      <w:b/>
      <w:bCs/>
    </w:rPr>
  </w:style>
  <w:style w:type="character" w:customStyle="1" w:styleId="apple-converted-space">
    <w:name w:val="apple-converted-space"/>
    <w:basedOn w:val="Predvolenpsmoodseku"/>
    <w:rsid w:val="00017061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81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816B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6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manazerDN@centrum.sk" TargetMode="External"/><Relationship Id="rId1" Type="http://schemas.openxmlformats.org/officeDocument/2006/relationships/hyperlink" Target="mailto:Kravar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25</cp:revision>
  <cp:lastPrinted>2015-11-03T10:15:00Z</cp:lastPrinted>
  <dcterms:created xsi:type="dcterms:W3CDTF">2015-06-17T10:55:00Z</dcterms:created>
  <dcterms:modified xsi:type="dcterms:W3CDTF">2015-11-03T11:22:00Z</dcterms:modified>
</cp:coreProperties>
</file>